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widowControl w:val="1"/>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MARYLAND STATE BOAR</w:t>
      </w:r>
      <w:r w:rsidDel="00000000" w:rsidR="00000000" w:rsidRPr="00000000">
        <w:rPr>
          <w:rFonts w:ascii="Arial" w:cs="Arial" w:eastAsia="Arial" w:hAnsi="Arial"/>
          <w:b w:val="1"/>
          <w:bCs w:val="1"/>
          <w:rtl w:val="0"/>
        </w:rPr>
        <w:t xml:space="preserve">D OF ELECTIONS</w:t>
      </w:r>
      <w:r w:rsidDel="00000000" w:rsidR="00000000" w:rsidRPr="00000000">
        <w:rPr>
          <w:rtl w:val="0"/>
        </w:rPr>
      </w:r>
    </w:p>
    <w:p w:rsidR="00000000" w:rsidDel="00000000" w:rsidP="00000000" w:rsidRDefault="00000000" w:rsidRPr="00000000" w14:paraId="00000003">
      <w:pPr>
        <w:widowControl w:val="1"/>
        <w:spacing w:line="276"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4">
      <w:pPr>
        <w:widowControl w:val="1"/>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HOME SECURITY GUIDANCE</w:t>
      </w:r>
    </w:p>
    <w:p w:rsidR="00000000" w:rsidDel="00000000" w:rsidP="00000000" w:rsidRDefault="00000000" w:rsidRPr="00000000" w14:paraId="00000005">
      <w:pPr>
        <w:widowControl w:val="1"/>
        <w:spacing w:line="276" w:lineRule="auto"/>
        <w:rPr>
          <w:rFonts w:ascii="Arial" w:cs="Arial" w:eastAsia="Arial" w:hAnsi="Arial"/>
          <w:b w:val="1"/>
          <w:bCs w:val="1"/>
        </w:rPr>
      </w:pPr>
      <w:r w:rsidDel="00000000" w:rsidR="00000000" w:rsidRPr="00000000">
        <w:rPr>
          <w:rFonts w:ascii="Arial" w:cs="Arial" w:eastAsia="Arial" w:hAnsi="Arial"/>
          <w:b w:val="1"/>
          <w:bCs w:val="1"/>
          <w:rtl w:val="0"/>
        </w:rPr>
        <w:tab/>
      </w:r>
    </w:p>
    <w:p w:rsidR="00000000" w:rsidDel="00000000" w:rsidP="00000000" w:rsidRDefault="00000000" w:rsidRPr="00000000" w14:paraId="00000006">
      <w:pPr>
        <w:widowControl w:val="1"/>
        <w:spacing w:line="276" w:lineRule="auto"/>
        <w:ind w:firstLine="720"/>
        <w:rPr>
          <w:rFonts w:ascii="Arial" w:cs="Arial" w:eastAsia="Arial" w:hAnsi="Arial"/>
        </w:rPr>
      </w:pPr>
      <w:r w:rsidDel="00000000" w:rsidR="00000000" w:rsidRPr="00000000">
        <w:rPr>
          <w:rFonts w:ascii="Arial" w:cs="Arial" w:eastAsia="Arial" w:hAnsi="Arial"/>
          <w:rtl w:val="0"/>
        </w:rPr>
        <w:t xml:space="preserve">Issue Date: May 21, 2026</w:t>
      </w:r>
      <w:r w:rsidDel="00000000" w:rsidR="00000000" w:rsidRPr="00000000">
        <w:rPr>
          <w:rtl w:val="0"/>
        </w:rPr>
      </w:r>
    </w:p>
    <w:p w:rsidR="00000000" w:rsidDel="00000000" w:rsidP="00000000" w:rsidRDefault="00000000" w:rsidRPr="00000000" w14:paraId="00000007">
      <w:pPr>
        <w:widowControl w:val="1"/>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1"/>
        <w:spacing w:line="276" w:lineRule="auto"/>
        <w:ind w:left="720" w:right="720" w:firstLine="0"/>
        <w:rPr>
          <w:rFonts w:ascii="Arial" w:cs="Arial" w:eastAsia="Arial" w:hAnsi="Arial"/>
        </w:rPr>
      </w:pPr>
      <w:r w:rsidDel="00000000" w:rsidR="00000000" w:rsidRPr="00000000">
        <w:rPr>
          <w:rFonts w:ascii="Arial" w:cs="Arial" w:eastAsia="Arial" w:hAnsi="Arial"/>
          <w:rtl w:val="0"/>
        </w:rPr>
        <w:t xml:space="preserve">The State Board of Elections issues this guidance for publication and inclusion as a section in the Summary Guide reaffirming its legal understanding of permissible expenditures. </w:t>
      </w:r>
    </w:p>
    <w:p w:rsidR="00000000" w:rsidDel="00000000" w:rsidP="00000000" w:rsidRDefault="00000000" w:rsidRPr="00000000" w14:paraId="00000009">
      <w:pPr>
        <w:widowControl w:val="1"/>
        <w:spacing w:line="276"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1"/>
        <w:spacing w:line="276" w:lineRule="auto"/>
        <w:ind w:left="720" w:right="720" w:firstLine="0"/>
        <w:rPr>
          <w:rFonts w:ascii="Arial" w:cs="Arial" w:eastAsia="Arial" w:hAnsi="Arial"/>
        </w:rPr>
      </w:pPr>
      <w:r w:rsidDel="00000000" w:rsidR="00000000" w:rsidRPr="00000000">
        <w:rPr>
          <w:rFonts w:ascii="Arial" w:cs="Arial" w:eastAsia="Arial" w:hAnsi="Arial"/>
          <w:rtl w:val="0"/>
        </w:rPr>
        <w:t xml:space="preserve">Home security has become more important in recent years.  In 2025 there were politically motivated home attacks on candidates.  Fear of one’s physical safety is reality in today’s political climate.  Certain home security expenses can be personal or have an electoral purpose.  The determination of the purpose for the expense will decide whether campaign funds are permissible.   </w:t>
      </w:r>
    </w:p>
    <w:p w:rsidR="00000000" w:rsidDel="00000000" w:rsidP="00000000" w:rsidRDefault="00000000" w:rsidRPr="00000000" w14:paraId="0000000B">
      <w:pPr>
        <w:widowControl w:val="1"/>
        <w:spacing w:line="276"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0C">
      <w:pPr>
        <w:widowControl w:val="1"/>
        <w:spacing w:line="276" w:lineRule="auto"/>
        <w:ind w:left="720" w:right="720" w:firstLine="0"/>
        <w:rPr>
          <w:rFonts w:ascii="Arial" w:cs="Arial" w:eastAsia="Arial" w:hAnsi="Arial"/>
        </w:rPr>
      </w:pPr>
      <w:r w:rsidDel="00000000" w:rsidR="00000000" w:rsidRPr="00000000">
        <w:rPr>
          <w:rFonts w:ascii="Arial" w:cs="Arial" w:eastAsia="Arial" w:hAnsi="Arial"/>
          <w:rtl w:val="0"/>
        </w:rPr>
        <w:t xml:space="preserve">Maryland law requires campaign funds to be used solely for the purpose of supporting or opposing a candidate, question, or political committee. See Election Law Article §1101(aa).  Moreover, there must exist a nexus between the expenditure and the candidacy or ballot question to which the expenditure relates.  In other words, the expenditure is permissible if it would not have occurred but for the fact a candidacy or ballot question is being promoted, supported or opposed.  Therefore, expenditures in support of home security countermeasures would have to have an electoral purpose in order for them to be permissible.  For example, a campaign that installs a home security system for a candidate that has received threats of harm makes an expenditure that would not have occurred but for the candidacy.  Moreover, the expenditure has a nexus to enhancing the success of the candidacy.  As a result of this analysis, the expenditure for the home security system would be a permissible expenditure.  However, if the home already had a home protection system installed then it would not be because the expenditure has no bearing on whether the candidate ran for office.   </w:t>
      </w:r>
    </w:p>
    <w:p w:rsidR="00000000" w:rsidDel="00000000" w:rsidP="00000000" w:rsidRDefault="00000000" w:rsidRPr="00000000" w14:paraId="0000000D">
      <w:pPr>
        <w:widowControl w:val="1"/>
        <w:spacing w:line="276"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0E">
      <w:pPr>
        <w:widowControl w:val="1"/>
        <w:spacing w:line="276" w:lineRule="auto"/>
        <w:ind w:left="720" w:right="720" w:firstLine="0"/>
        <w:rPr>
          <w:rFonts w:ascii="Arial" w:cs="Arial" w:eastAsia="Arial" w:hAnsi="Arial"/>
        </w:rPr>
      </w:pPr>
      <w:r w:rsidDel="00000000" w:rsidR="00000000" w:rsidRPr="00000000">
        <w:rPr>
          <w:rFonts w:ascii="Arial" w:cs="Arial" w:eastAsia="Arial" w:hAnsi="Arial"/>
          <w:rtl w:val="0"/>
        </w:rPr>
        <w:t xml:space="preserve">Furthermore, it is permissible for a political party or a legislative party caucus committee to provide cybersecurity protection for candidate campaigns.  The political party can allocate the resources used as a coordinated in-kind contribution to the campaign in order to keep expenses at a minimum for a small campaign.  Since the expenditures in this scenario would have a campaign purpose, administrative funds may not be used.  </w:t>
      </w:r>
    </w:p>
    <w:p w:rsidR="00000000" w:rsidDel="00000000" w:rsidP="00000000" w:rsidRDefault="00000000" w:rsidRPr="00000000" w14:paraId="0000000F">
      <w:pPr>
        <w:widowControl w:val="1"/>
        <w:spacing w:line="276"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1"/>
        <w:spacing w:line="276" w:lineRule="auto"/>
        <w:ind w:left="720" w:right="720" w:firstLine="0"/>
        <w:rPr>
          <w:rFonts w:ascii="Arial" w:cs="Arial" w:eastAsia="Arial" w:hAnsi="Arial"/>
        </w:rPr>
      </w:pPr>
      <w:r w:rsidDel="00000000" w:rsidR="00000000" w:rsidRPr="00000000">
        <w:rPr>
          <w:rFonts w:ascii="Arial" w:cs="Arial" w:eastAsia="Arial" w:hAnsi="Arial"/>
          <w:rtl w:val="0"/>
        </w:rPr>
        <w:t xml:space="preserve">Finally, if campaign funds are used for the procurement of a home security system, it is an asset of the campaign. When the individual is no longer a candidate for office or closes the candidate committee, this asset must be disposed of like all of the assets of the committee. </w:t>
      </w:r>
    </w:p>
    <w:p w:rsidR="00000000" w:rsidDel="00000000" w:rsidP="00000000" w:rsidRDefault="00000000" w:rsidRPr="00000000" w14:paraId="00000011">
      <w:pPr>
        <w:widowControl w:val="1"/>
        <w:spacing w:line="276" w:lineRule="auto"/>
        <w:ind w:left="720" w:right="720" w:firstLine="0"/>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1"/>
        <w:spacing w:line="276" w:lineRule="auto"/>
        <w:ind w:left="720" w:right="720" w:firstLine="0"/>
        <w:rPr>
          <w:rFonts w:ascii="Arial" w:cs="Arial" w:eastAsia="Arial" w:hAnsi="Arial"/>
        </w:rPr>
      </w:pPr>
      <w:r w:rsidDel="00000000" w:rsidR="00000000" w:rsidRPr="00000000">
        <w:rPr>
          <w:rFonts w:ascii="Arial" w:cs="Arial" w:eastAsia="Arial" w:hAnsi="Arial"/>
          <w:rtl w:val="0"/>
        </w:rPr>
        <w:t xml:space="preserve">This policy does not, nor cannot, address every instance or possibility for the use of campaign funds to pay for a home security system. It should be read as non-exhaustive and illustrative guidance. </w:t>
      </w:r>
    </w:p>
    <w:sectPr>
      <w:headerReference r:id="rId7" w:type="default"/>
      <w:headerReference r:id="rId8" w:type="first"/>
      <w:footerReference r:id="rId9" w:type="default"/>
      <w:footerReference r:id="rId10" w:type="first"/>
      <w:pgSz w:h="15840" w:w="12240" w:orient="portrait"/>
      <w:pgMar w:bottom="274" w:top="374" w:left="346" w:right="245"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bCs w:val="0"/>
        <w:i w:val="0"/>
        <w:iCs w:val="0"/>
        <w:smallCaps w:val="1"/>
        <w:strike w:val="0"/>
        <w:color w:val="4f81bd"/>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-6348</wp:posOffset>
              </wp:positionH>
              <wp:positionV relativeFrom="paragraph">
                <wp:posOffset>0</wp:posOffset>
              </wp:positionV>
              <wp:extent cx="12700" cy="12700"/>
              <wp:effectExtent b="0" l="0" r="0" t="0"/>
              <wp:wrapNone/>
              <wp:docPr id="1" name=""/>
              <a:graphic>
                <a:graphicData uri="http://schemas.microsoft.com/office/word/2010/wordprocessingShape">
                  <wps:wsp>
                    <wps:cNvCnPr/>
                    <wps:spPr>
                      <a:xfrm>
                        <a:off x="1684004" y="3780000"/>
                        <a:ext cx="7323992" cy="0"/>
                      </a:xfrm>
                      <a:prstGeom prst="straightConnector1">
                        <a:avLst/>
                      </a:prstGeom>
                      <a:noFill/>
                      <a:ln cap="flat" cmpd="sng" w="9525">
                        <a:solidFill>
                          <a:srgbClr val="BFBFB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tbl>
    <w:tblPr>
      <w:tblStyle w:val="Table2"/>
      <w:tblW w:w="11269.0" w:type="dxa"/>
      <w:jc w:val="left"/>
      <w:tblInd w:w="1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2"/>
      <w:gridCol w:w="4756"/>
      <w:gridCol w:w="3091"/>
      <w:tblGridChange w:id="0">
        <w:tblGrid>
          <w:gridCol w:w="3422"/>
          <w:gridCol w:w="4756"/>
          <w:gridCol w:w="3091"/>
        </w:tblGrid>
      </w:tblGridChange>
    </w:tblGrid>
    <w:tr>
      <w:trPr>
        <w:cantSplit w:val="0"/>
        <w:trHeight w:val="194" w:hRule="atLeast"/>
        <w:tblHeader w:val="0"/>
      </w:trPr>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174" w:lineRule="auto"/>
            <w:ind w:left="5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FAX (410) 974- 2019</w:t>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174" w:lineRule="auto"/>
            <w:ind w:left="23" w:right="248"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Toll Free Phone Number (800) 222-8683</w:t>
          </w:r>
        </w:p>
      </w:tc>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174" w:lineRule="auto"/>
            <w:ind w:left="0" w:right="95" w:firstLine="0"/>
            <w:jc w:val="righ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151 West Street Suite 200</w:t>
          </w:r>
        </w:p>
      </w:tc>
    </w:tr>
    <w:tr>
      <w:trPr>
        <w:cantSplit w:val="0"/>
        <w:trHeight w:val="194" w:hRule="atLeast"/>
        <w:tblHeader w:val="0"/>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174" w:lineRule="auto"/>
            <w:ind w:left="5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MD Relay Service (800) 735-2258</w:t>
          </w:r>
        </w:p>
      </w:tc>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174" w:lineRule="auto"/>
            <w:ind w:left="0" w:right="248"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https://elections.maryland.gov</w:t>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174" w:lineRule="auto"/>
            <w:ind w:left="0" w:right="47" w:firstLine="0"/>
            <w:jc w:val="righ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Annapolis, Maryland 21401</w:t>
          </w:r>
        </w:p>
      </w:tc>
    </w:tr>
  </w:tbl>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widowControl w:val="1"/>
      <w:tabs>
        <w:tab w:val="center" w:leader="none" w:pos="4320"/>
        <w:tab w:val="right" w:leader="none" w:pos="8640"/>
      </w:tabs>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-257171</wp:posOffset>
          </wp:positionH>
          <wp:positionV relativeFrom="paragraph">
            <wp:posOffset>-318746</wp:posOffset>
          </wp:positionV>
          <wp:extent cx="3896065" cy="138112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896065" cy="1381125"/>
                  </a:xfrm>
                  <a:prstGeom prst="rect"/>
                  <a:ln/>
                </pic:spPr>
              </pic:pic>
            </a:graphicData>
          </a:graphic>
        </wp:anchor>
      </w:drawing>
    </w:r>
  </w:p>
  <w:tbl>
    <w:tblPr>
      <w:tblStyle w:val="Table1"/>
      <w:tblW w:w="11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10"/>
      <w:gridCol w:w="4545"/>
      <w:gridCol w:w="3065"/>
      <w:tblGridChange w:id="0">
        <w:tblGrid>
          <w:gridCol w:w="3910"/>
          <w:gridCol w:w="4545"/>
          <w:gridCol w:w="3065"/>
        </w:tblGrid>
      </w:tblGridChange>
    </w:tblGrid>
    <w:tr>
      <w:trPr>
        <w:cantSplit w:val="0"/>
        <w:tblHeader w:val="0"/>
      </w:trPr>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Jared DeMarinis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State Administrator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Katherine Berry</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Deputy Administrator</w:t>
          </w:r>
          <w:r w:rsidDel="00000000" w:rsidR="00000000" w:rsidRPr="00000000">
            <w:rPr>
              <w:rtl w:val="0"/>
            </w:rPr>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Verdana" w:cs="Verdana" w:eastAsia="Verdana" w:hAnsi="Verdana"/>
              <w:b w:val="0"/>
              <w:bCs w:val="0"/>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Michael Summers</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Chairman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b w:val="1"/>
              <w:bCs w:val="1"/>
              <w:sz w:val="18"/>
              <w:szCs w:val="18"/>
              <w:rtl w:val="0"/>
            </w:rPr>
            <w:t xml:space="preserve">Jim Shalleck</w:t>
          </w:r>
          <w:r w:rsidDel="00000000" w:rsidR="00000000" w:rsidRPr="00000000">
            <w:rPr>
              <w:sz w:val="18"/>
              <w:szCs w:val="18"/>
              <w:rtl w:val="0"/>
            </w:rPr>
            <w:t xml:space="preserve">,</w:t>
          </w:r>
          <w:r w:rsidDel="00000000" w:rsidR="00000000" w:rsidRPr="00000000">
            <w:rPr>
              <w:b w:val="1"/>
              <w:bCs w:val="1"/>
              <w:sz w:val="18"/>
              <w:szCs w:val="18"/>
              <w:rtl w:val="0"/>
            </w:rPr>
            <w:t xml:space="preserve"> </w:t>
          </w:r>
          <w:r w:rsidDel="00000000" w:rsidR="00000000" w:rsidRPr="00000000">
            <w:rPr>
              <w:sz w:val="18"/>
              <w:szCs w:val="18"/>
              <w:rtl w:val="0"/>
            </w:rPr>
            <w:t xml:space="preserve">Vice Chairman</w:t>
          </w: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Diane Butler</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Verdana" w:cs="Verdana" w:eastAsia="Verdana" w:hAnsi="Verdana"/>
              <w:b w:val="1"/>
              <w:bCs w:val="1"/>
              <w:i w:val="0"/>
              <w:iCs w:val="0"/>
              <w:smallCaps w:val="0"/>
              <w:strike w:val="0"/>
              <w:color w:val="000000"/>
              <w:sz w:val="18"/>
              <w:szCs w:val="1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Victoria Jackson-Stanley</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right"/>
            <w:rPr>
              <w:b w:val="1"/>
              <w:bCs w:val="1"/>
              <w:sz w:val="18"/>
              <w:szCs w:val="18"/>
            </w:rPr>
          </w:pPr>
          <w:r w:rsidDel="00000000" w:rsidR="00000000" w:rsidRPr="00000000">
            <w:rPr>
              <w:b w:val="1"/>
              <w:bCs w:val="1"/>
              <w:sz w:val="18"/>
              <w:szCs w:val="18"/>
              <w:rtl w:val="0"/>
            </w:rPr>
            <w:t xml:space="preserve">Eric Bryant</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righ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zb9/jeUBLgxWzkFUAiuz9U9pWA==">CgMxLjA4AHIhMXRMekZmVHFncjJlOG5rbVZ5blB4M291ZDNZUmkySTNQ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2024-03-05T00:00:00Z</vt:lpwstr>
  </property>
  <property fmtid="{D5CDD505-2E9C-101B-9397-08002B2CF9AE}" pid="3" name="Creator">
    <vt:lpwstr>PScript5.dll Version 5.2.2</vt:lpwstr>
  </property>
  <property fmtid="{D5CDD505-2E9C-101B-9397-08002B2CF9AE}" pid="4" name="LastSaved">
    <vt:lpwstr>2024-03-11T00:00:00Z</vt:lpwstr>
  </property>
  <property fmtid="{D5CDD505-2E9C-101B-9397-08002B2CF9AE}" pid="5" name="Producer">
    <vt:lpwstr>Acrobat Distiller 23.0 (Windows)</vt:lpwstr>
  </property>
</Properties>
</file>